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C5" w:rsidRPr="00A1581C" w:rsidRDefault="00A1581C" w:rsidP="00A1581C">
      <w:pPr>
        <w:rPr>
          <w:rFonts w:ascii="Arial" w:hAnsi="Arial" w:cs="Arial"/>
          <w:u w:val="single"/>
        </w:rPr>
      </w:pPr>
      <w:r w:rsidRPr="00A1581C">
        <w:rPr>
          <w:rFonts w:ascii="Arial" w:hAnsi="Arial" w:cs="Arial"/>
          <w:noProof/>
          <w:u w:val="single"/>
        </w:rPr>
        <w:drawing>
          <wp:anchor distT="0" distB="0" distL="114300" distR="114300" simplePos="0" relativeHeight="251658240" behindDoc="1" locked="0" layoutInCell="1" allowOverlap="1">
            <wp:simplePos x="0" y="0"/>
            <wp:positionH relativeFrom="margin">
              <wp:posOffset>3883660</wp:posOffset>
            </wp:positionH>
            <wp:positionV relativeFrom="paragraph">
              <wp:posOffset>-566420</wp:posOffset>
            </wp:positionV>
            <wp:extent cx="184785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Pr="00A1581C">
        <w:rPr>
          <w:rFonts w:ascii="Arial" w:hAnsi="Arial" w:cs="Arial"/>
          <w:u w:val="single"/>
        </w:rPr>
        <w:t>OFFICER DECISION RECORD</w:t>
      </w:r>
    </w:p>
    <w:p w:rsidR="00A1581C" w:rsidRDefault="00A1581C" w:rsidP="00A158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0"/>
        <w:gridCol w:w="4979"/>
      </w:tblGrid>
      <w:tr w:rsidR="00A1581C" w:rsidRPr="00E73D2F" w:rsidTr="00E60D35">
        <w:tc>
          <w:tcPr>
            <w:tcW w:w="4068" w:type="dxa"/>
            <w:gridSpan w:val="2"/>
            <w:shd w:val="clear" w:color="auto" w:fill="auto"/>
          </w:tcPr>
          <w:p w:rsidR="00A1581C" w:rsidRPr="00E73D2F" w:rsidRDefault="00A1581C" w:rsidP="00E60D35">
            <w:pPr>
              <w:rPr>
                <w:rFonts w:ascii="Arial" w:hAnsi="Arial"/>
              </w:rPr>
            </w:pPr>
            <w:r w:rsidRPr="00E73D2F">
              <w:rPr>
                <w:rFonts w:ascii="Arial" w:hAnsi="Arial"/>
                <w:b/>
              </w:rPr>
              <w:t>Officer:</w:t>
            </w:r>
            <w:r>
              <w:rPr>
                <w:rFonts w:ascii="Arial" w:hAnsi="Arial"/>
                <w:b/>
              </w:rPr>
              <w:t xml:space="preserve"> </w:t>
            </w:r>
            <w:r>
              <w:rPr>
                <w:rFonts w:ascii="Arial" w:hAnsi="Arial"/>
              </w:rPr>
              <w:t>Geoff George, Regeneration Programmes and Projects Manager</w:t>
            </w:r>
          </w:p>
          <w:p w:rsidR="00A1581C" w:rsidRPr="00E73D2F" w:rsidRDefault="00A1581C" w:rsidP="00E60D35">
            <w:pPr>
              <w:rPr>
                <w:rFonts w:ascii="Arial" w:hAnsi="Arial"/>
              </w:rPr>
            </w:pPr>
          </w:p>
        </w:tc>
        <w:tc>
          <w:tcPr>
            <w:tcW w:w="5040" w:type="dxa"/>
            <w:shd w:val="clear" w:color="auto" w:fill="auto"/>
          </w:tcPr>
          <w:p w:rsidR="00A1581C" w:rsidRDefault="00A1581C" w:rsidP="00E60D35">
            <w:pPr>
              <w:rPr>
                <w:rFonts w:ascii="Arial" w:hAnsi="Arial"/>
                <w:b/>
              </w:rPr>
            </w:pPr>
            <w:r w:rsidRPr="00E73D2F">
              <w:rPr>
                <w:rFonts w:ascii="Arial" w:hAnsi="Arial"/>
                <w:b/>
              </w:rPr>
              <w:t>Date of Decision:</w:t>
            </w:r>
            <w:r>
              <w:rPr>
                <w:rFonts w:ascii="Arial" w:hAnsi="Arial"/>
                <w:b/>
              </w:rPr>
              <w:t xml:space="preserve"> </w:t>
            </w:r>
            <w:r w:rsidR="00B77BB2">
              <w:rPr>
                <w:rFonts w:ascii="Arial" w:hAnsi="Arial"/>
              </w:rPr>
              <w:t>5</w:t>
            </w:r>
            <w:r w:rsidR="005238B0" w:rsidRPr="005238B0">
              <w:rPr>
                <w:rFonts w:ascii="Arial" w:hAnsi="Arial"/>
                <w:vertAlign w:val="superscript"/>
              </w:rPr>
              <w:t>th</w:t>
            </w:r>
            <w:r w:rsidR="005238B0" w:rsidRPr="005238B0">
              <w:rPr>
                <w:rFonts w:ascii="Arial" w:hAnsi="Arial"/>
              </w:rPr>
              <w:t xml:space="preserve"> Ju</w:t>
            </w:r>
            <w:r w:rsidR="0008190A">
              <w:rPr>
                <w:rFonts w:ascii="Arial" w:hAnsi="Arial"/>
              </w:rPr>
              <w:t>ly</w:t>
            </w:r>
            <w:r w:rsidR="005238B0" w:rsidRPr="005238B0">
              <w:rPr>
                <w:rFonts w:ascii="Arial" w:hAnsi="Arial"/>
              </w:rPr>
              <w:t xml:space="preserve"> 2022</w:t>
            </w:r>
          </w:p>
          <w:p w:rsidR="00A1581C" w:rsidRPr="00E73D2F" w:rsidRDefault="00A1581C" w:rsidP="00E60D35">
            <w:pPr>
              <w:rPr>
                <w:rFonts w:ascii="Arial" w:hAnsi="Arial"/>
              </w:rPr>
            </w:pPr>
          </w:p>
        </w:tc>
      </w:tr>
      <w:tr w:rsidR="00A1581C" w:rsidRPr="00E73D2F" w:rsidTr="00E60D35">
        <w:tc>
          <w:tcPr>
            <w:tcW w:w="9108" w:type="dxa"/>
            <w:gridSpan w:val="3"/>
            <w:shd w:val="clear" w:color="auto" w:fill="auto"/>
          </w:tcPr>
          <w:p w:rsidR="0035318C" w:rsidRPr="0035318C" w:rsidRDefault="00A1581C" w:rsidP="0035318C">
            <w:pPr>
              <w:rPr>
                <w:rFonts w:ascii="Arial" w:hAnsi="Arial" w:cs="Arial"/>
              </w:rPr>
            </w:pPr>
            <w:r w:rsidRPr="00E73D2F">
              <w:rPr>
                <w:rFonts w:ascii="Arial" w:hAnsi="Arial"/>
                <w:b/>
              </w:rPr>
              <w:t xml:space="preserve">Title/Reference: </w:t>
            </w:r>
            <w:r>
              <w:rPr>
                <w:rFonts w:ascii="Arial" w:hAnsi="Arial"/>
                <w:b/>
              </w:rPr>
              <w:t xml:space="preserve"> </w:t>
            </w:r>
            <w:r w:rsidR="002036C2" w:rsidRPr="0035318C">
              <w:rPr>
                <w:rFonts w:ascii="Arial" w:hAnsi="Arial"/>
              </w:rPr>
              <w:t xml:space="preserve">Levelling Up Fund Round 2 – Authorisation </w:t>
            </w:r>
            <w:r w:rsidR="0035318C" w:rsidRPr="0035318C">
              <w:rPr>
                <w:rFonts w:ascii="Arial" w:hAnsi="Arial" w:cs="Arial"/>
              </w:rPr>
              <w:t>of the Section 151 Officer to Submit</w:t>
            </w:r>
            <w:r w:rsidR="00456681">
              <w:rPr>
                <w:rFonts w:ascii="Arial" w:hAnsi="Arial" w:cs="Arial"/>
              </w:rPr>
              <w:t xml:space="preserve"> a Bid</w:t>
            </w:r>
          </w:p>
          <w:p w:rsidR="00A1581C" w:rsidRDefault="00A1581C" w:rsidP="00E60D35">
            <w:pPr>
              <w:rPr>
                <w:rFonts w:ascii="Arial" w:hAnsi="Arial"/>
                <w:b/>
              </w:rPr>
            </w:pPr>
          </w:p>
          <w:p w:rsidR="00A1581C" w:rsidRPr="00957E23" w:rsidRDefault="00A1581C" w:rsidP="002036C2">
            <w:pPr>
              <w:rPr>
                <w:rFonts w:ascii="Arial" w:hAnsi="Arial"/>
                <w:b/>
              </w:rPr>
            </w:pPr>
            <w:r>
              <w:rPr>
                <w:rFonts w:ascii="Arial" w:hAnsi="Arial"/>
                <w:b/>
              </w:rPr>
              <w:t xml:space="preserve">Delegated Decision </w:t>
            </w:r>
            <w:r w:rsidRPr="00BB48D6">
              <w:rPr>
                <w:rFonts w:ascii="Arial" w:hAnsi="Arial"/>
                <w:b/>
              </w:rPr>
              <w:t>Ref</w:t>
            </w:r>
            <w:r>
              <w:rPr>
                <w:rFonts w:ascii="Arial" w:hAnsi="Arial"/>
              </w:rPr>
              <w:t xml:space="preserve">: </w:t>
            </w:r>
            <w:r w:rsidR="0035318C">
              <w:rPr>
                <w:rFonts w:ascii="Arial" w:hAnsi="Arial" w:cs="Arial"/>
              </w:rPr>
              <w:t>22/12/P&amp;R</w:t>
            </w:r>
          </w:p>
        </w:tc>
      </w:tr>
      <w:tr w:rsidR="00A1581C" w:rsidRPr="00E73D2F" w:rsidTr="00E60D35">
        <w:tc>
          <w:tcPr>
            <w:tcW w:w="9108" w:type="dxa"/>
            <w:gridSpan w:val="3"/>
            <w:shd w:val="clear" w:color="auto" w:fill="auto"/>
          </w:tcPr>
          <w:p w:rsidR="00A1581C" w:rsidRPr="00CE022F" w:rsidRDefault="00A1581C" w:rsidP="00E60D35">
            <w:pPr>
              <w:rPr>
                <w:rFonts w:ascii="Arial" w:hAnsi="Arial"/>
              </w:rPr>
            </w:pPr>
            <w:r w:rsidRPr="00E73D2F">
              <w:rPr>
                <w:rFonts w:ascii="Arial" w:hAnsi="Arial"/>
                <w:b/>
              </w:rPr>
              <w:t>Consultee Member (if applicable):</w:t>
            </w:r>
            <w:r>
              <w:rPr>
                <w:rFonts w:ascii="Arial" w:hAnsi="Arial"/>
                <w:b/>
              </w:rPr>
              <w:t xml:space="preserve"> </w:t>
            </w:r>
            <w:r w:rsidR="0035318C" w:rsidRPr="0035318C">
              <w:rPr>
                <w:rFonts w:ascii="Arial" w:hAnsi="Arial"/>
              </w:rPr>
              <w:t>n/a</w:t>
            </w:r>
          </w:p>
          <w:p w:rsidR="00A1581C" w:rsidRPr="00E73D2F" w:rsidRDefault="00A1581C" w:rsidP="00E60D35">
            <w:pPr>
              <w:rPr>
                <w:rFonts w:ascii="Arial" w:hAnsi="Arial"/>
              </w:rPr>
            </w:pPr>
          </w:p>
        </w:tc>
      </w:tr>
      <w:tr w:rsidR="00A1581C" w:rsidRPr="00E73D2F" w:rsidTr="00E60D35">
        <w:tc>
          <w:tcPr>
            <w:tcW w:w="9108" w:type="dxa"/>
            <w:gridSpan w:val="3"/>
            <w:shd w:val="clear" w:color="auto" w:fill="auto"/>
          </w:tcPr>
          <w:p w:rsidR="00A1581C" w:rsidRDefault="00A1581C" w:rsidP="00E60D35">
            <w:pPr>
              <w:jc w:val="both"/>
              <w:rPr>
                <w:rFonts w:ascii="Arial" w:hAnsi="Arial"/>
                <w:b/>
              </w:rPr>
            </w:pPr>
            <w:r w:rsidRPr="00E73D2F">
              <w:rPr>
                <w:rFonts w:ascii="Arial" w:hAnsi="Arial"/>
                <w:b/>
              </w:rPr>
              <w:t>Record of Decision:</w:t>
            </w:r>
          </w:p>
          <w:p w:rsidR="009C6B83" w:rsidRPr="009C6B83" w:rsidRDefault="009C6B83" w:rsidP="00E60D35">
            <w:pPr>
              <w:jc w:val="both"/>
              <w:rPr>
                <w:rFonts w:ascii="Arial" w:hAnsi="Arial"/>
              </w:rPr>
            </w:pPr>
          </w:p>
          <w:p w:rsidR="00B026D4" w:rsidRDefault="000B63AE" w:rsidP="00B026D4">
            <w:pPr>
              <w:jc w:val="both"/>
              <w:rPr>
                <w:rFonts w:ascii="Arial" w:hAnsi="Arial"/>
              </w:rPr>
            </w:pPr>
            <w:r>
              <w:rPr>
                <w:rFonts w:ascii="Arial" w:hAnsi="Arial"/>
              </w:rPr>
              <w:t xml:space="preserve">The </w:t>
            </w:r>
            <w:r w:rsidR="00DA1CC2">
              <w:rPr>
                <w:rFonts w:ascii="Arial" w:hAnsi="Arial"/>
              </w:rPr>
              <w:t xml:space="preserve">Head of Finance and </w:t>
            </w:r>
            <w:r>
              <w:rPr>
                <w:rFonts w:ascii="Arial" w:hAnsi="Arial"/>
              </w:rPr>
              <w:t>Section 151 Officer is supporting the s</w:t>
            </w:r>
            <w:r w:rsidR="009C6B83" w:rsidRPr="009C6B83">
              <w:rPr>
                <w:rFonts w:ascii="Arial" w:hAnsi="Arial"/>
              </w:rPr>
              <w:t xml:space="preserve">ubmission </w:t>
            </w:r>
            <w:r>
              <w:rPr>
                <w:rFonts w:ascii="Arial" w:hAnsi="Arial"/>
              </w:rPr>
              <w:t xml:space="preserve">of a bid </w:t>
            </w:r>
            <w:r w:rsidR="009C6B83" w:rsidRPr="009C6B83">
              <w:rPr>
                <w:rFonts w:ascii="Arial" w:hAnsi="Arial"/>
              </w:rPr>
              <w:t xml:space="preserve">under Round 2 of the </w:t>
            </w:r>
            <w:r w:rsidR="009C6B83">
              <w:rPr>
                <w:rFonts w:ascii="Arial" w:hAnsi="Arial"/>
              </w:rPr>
              <w:t xml:space="preserve">Levelling Up Fund.  Separate declarations are required from both the </w:t>
            </w:r>
            <w:r w:rsidR="00DA1CC2">
              <w:rPr>
                <w:rFonts w:ascii="Arial" w:hAnsi="Arial"/>
              </w:rPr>
              <w:t xml:space="preserve">Chief Executive </w:t>
            </w:r>
            <w:r w:rsidR="009C6B83">
              <w:rPr>
                <w:rFonts w:ascii="Arial" w:hAnsi="Arial"/>
              </w:rPr>
              <w:t xml:space="preserve">and the </w:t>
            </w:r>
            <w:r w:rsidR="00DA1CC2">
              <w:rPr>
                <w:rFonts w:ascii="Arial" w:hAnsi="Arial"/>
              </w:rPr>
              <w:t>Head of Finance and Section 151 Officer</w:t>
            </w:r>
            <w:r w:rsidR="009C6B83">
              <w:rPr>
                <w:rFonts w:ascii="Arial" w:hAnsi="Arial"/>
              </w:rPr>
              <w:t xml:space="preserve">.  </w:t>
            </w:r>
            <w:r w:rsidR="00456681">
              <w:rPr>
                <w:rFonts w:ascii="Arial" w:hAnsi="Arial"/>
              </w:rPr>
              <w:t>The declarations</w:t>
            </w:r>
            <w:r w:rsidR="00240B1A">
              <w:rPr>
                <w:rFonts w:ascii="Arial" w:hAnsi="Arial"/>
              </w:rPr>
              <w:t xml:space="preserve"> are mandatory and without them</w:t>
            </w:r>
            <w:r w:rsidR="00456681">
              <w:rPr>
                <w:rFonts w:ascii="Arial" w:hAnsi="Arial"/>
              </w:rPr>
              <w:t xml:space="preserve">, the submission will not be progressed to assessment. </w:t>
            </w:r>
            <w:r w:rsidR="00B026D4">
              <w:rPr>
                <w:rFonts w:ascii="Arial" w:hAnsi="Arial"/>
              </w:rPr>
              <w:t>Each of these requirements is the subject of a separate Officer Decision Record.</w:t>
            </w:r>
          </w:p>
          <w:p w:rsidR="00456681" w:rsidRDefault="00456681" w:rsidP="00E60D35">
            <w:pPr>
              <w:jc w:val="both"/>
              <w:rPr>
                <w:rFonts w:ascii="Arial" w:hAnsi="Arial"/>
              </w:rPr>
            </w:pPr>
          </w:p>
          <w:p w:rsidR="00056FA5" w:rsidRDefault="00B026D4" w:rsidP="00E60D35">
            <w:pPr>
              <w:jc w:val="both"/>
              <w:rPr>
                <w:rFonts w:ascii="Arial" w:hAnsi="Arial"/>
              </w:rPr>
            </w:pPr>
            <w:r>
              <w:rPr>
                <w:rFonts w:ascii="Arial" w:hAnsi="Arial"/>
              </w:rPr>
              <w:t>T</w:t>
            </w:r>
            <w:r w:rsidR="00DA1CC2">
              <w:rPr>
                <w:rFonts w:ascii="Arial" w:hAnsi="Arial"/>
              </w:rPr>
              <w:t>he Section 151 Officer</w:t>
            </w:r>
            <w:r>
              <w:rPr>
                <w:rFonts w:ascii="Arial" w:hAnsi="Arial"/>
              </w:rPr>
              <w:t xml:space="preserve">’s form requires a signed </w:t>
            </w:r>
            <w:r w:rsidR="00056FA5">
              <w:rPr>
                <w:rFonts w:ascii="Arial" w:hAnsi="Arial"/>
              </w:rPr>
              <w:t xml:space="preserve">declaration </w:t>
            </w:r>
            <w:r>
              <w:rPr>
                <w:rFonts w:ascii="Arial" w:hAnsi="Arial"/>
              </w:rPr>
              <w:t xml:space="preserve">on one main </w:t>
            </w:r>
            <w:r w:rsidR="00056FA5">
              <w:rPr>
                <w:rFonts w:ascii="Arial" w:hAnsi="Arial"/>
              </w:rPr>
              <w:t>and si</w:t>
            </w:r>
            <w:r w:rsidR="00456681">
              <w:rPr>
                <w:rFonts w:ascii="Arial" w:hAnsi="Arial"/>
              </w:rPr>
              <w:t xml:space="preserve">x </w:t>
            </w:r>
            <w:r w:rsidR="00056FA5">
              <w:rPr>
                <w:rFonts w:ascii="Arial" w:hAnsi="Arial"/>
              </w:rPr>
              <w:t>sub-</w:t>
            </w:r>
            <w:r w:rsidR="00456681">
              <w:rPr>
                <w:rFonts w:ascii="Arial" w:hAnsi="Arial"/>
              </w:rPr>
              <w:t>points.</w:t>
            </w:r>
          </w:p>
          <w:p w:rsidR="00056FA5" w:rsidRDefault="00056FA5" w:rsidP="00E60D35">
            <w:pPr>
              <w:jc w:val="both"/>
              <w:rPr>
                <w:rFonts w:ascii="Arial" w:hAnsi="Arial"/>
              </w:rPr>
            </w:pPr>
          </w:p>
          <w:p w:rsidR="00056FA5" w:rsidRDefault="00C65BD6" w:rsidP="00E60D35">
            <w:pPr>
              <w:jc w:val="both"/>
              <w:rPr>
                <w:rFonts w:ascii="Arial" w:hAnsi="Arial"/>
              </w:rPr>
            </w:pPr>
            <w:r>
              <w:rPr>
                <w:rFonts w:ascii="Arial" w:hAnsi="Arial"/>
              </w:rPr>
              <w:t>The main declaration</w:t>
            </w:r>
            <w:r w:rsidR="00056FA5">
              <w:rPr>
                <w:rFonts w:ascii="Arial" w:hAnsi="Arial"/>
              </w:rPr>
              <w:t xml:space="preserve"> concerns the </w:t>
            </w:r>
            <w:r>
              <w:rPr>
                <w:rFonts w:ascii="Arial" w:hAnsi="Arial"/>
              </w:rPr>
              <w:t xml:space="preserve">accuracy of the </w:t>
            </w:r>
            <w:r w:rsidR="00056FA5">
              <w:rPr>
                <w:rFonts w:ascii="Arial" w:hAnsi="Arial"/>
              </w:rPr>
              <w:t>cost estimates</w:t>
            </w:r>
            <w:r>
              <w:rPr>
                <w:rFonts w:ascii="Arial" w:hAnsi="Arial"/>
              </w:rPr>
              <w:t>.  These have been the subject of preparation and review by our appointed consultants, Arc Partnership and PRD Ltd, with support from the Council’s Design Services.</w:t>
            </w:r>
          </w:p>
          <w:p w:rsidR="00056FA5" w:rsidRDefault="00056FA5" w:rsidP="00E60D35">
            <w:pPr>
              <w:jc w:val="both"/>
              <w:rPr>
                <w:rFonts w:ascii="Arial" w:hAnsi="Arial"/>
              </w:rPr>
            </w:pPr>
          </w:p>
          <w:p w:rsidR="00056FA5" w:rsidRDefault="00056FA5" w:rsidP="00E60D35">
            <w:pPr>
              <w:jc w:val="both"/>
              <w:rPr>
                <w:rFonts w:ascii="Arial" w:hAnsi="Arial"/>
              </w:rPr>
            </w:pPr>
            <w:r>
              <w:rPr>
                <w:rFonts w:ascii="Arial" w:hAnsi="Arial"/>
              </w:rPr>
              <w:t xml:space="preserve">Of the six sub-points, </w:t>
            </w:r>
            <w:r w:rsidR="00456681">
              <w:rPr>
                <w:rFonts w:ascii="Arial" w:hAnsi="Arial"/>
              </w:rPr>
              <w:t xml:space="preserve">Three relate to the Council accepting </w:t>
            </w:r>
            <w:r>
              <w:rPr>
                <w:rFonts w:ascii="Arial" w:hAnsi="Arial"/>
              </w:rPr>
              <w:t xml:space="preserve">only </w:t>
            </w:r>
            <w:r w:rsidR="00456681">
              <w:rPr>
                <w:rFonts w:ascii="Arial" w:hAnsi="Arial"/>
              </w:rPr>
              <w:t xml:space="preserve">the maximum grant available; ensuring that successful bids will deliver value for money / best value and one confirming that the Council has the necessary governance arrangements and related obligations in place.  These issues relate to established </w:t>
            </w:r>
            <w:r>
              <w:rPr>
                <w:rFonts w:ascii="Arial" w:hAnsi="Arial"/>
              </w:rPr>
              <w:t>policy and procedures of the Council and the grant maximum is understood and factored into the submission.</w:t>
            </w:r>
          </w:p>
          <w:p w:rsidR="00056FA5" w:rsidRDefault="00056FA5" w:rsidP="00E60D35">
            <w:pPr>
              <w:jc w:val="both"/>
              <w:rPr>
                <w:rFonts w:ascii="Arial" w:hAnsi="Arial"/>
              </w:rPr>
            </w:pPr>
          </w:p>
          <w:p w:rsidR="005B5556" w:rsidRDefault="00056FA5" w:rsidP="00E60D35">
            <w:pPr>
              <w:jc w:val="both"/>
              <w:rPr>
                <w:rFonts w:ascii="Arial" w:hAnsi="Arial"/>
              </w:rPr>
            </w:pPr>
            <w:r>
              <w:rPr>
                <w:rFonts w:ascii="Arial" w:hAnsi="Arial"/>
              </w:rPr>
              <w:t>Three points relate to the Council’s allocation of sufficient budget to deliver th</w:t>
            </w:r>
            <w:r w:rsidR="00C65BD6">
              <w:rPr>
                <w:rFonts w:ascii="Arial" w:hAnsi="Arial"/>
              </w:rPr>
              <w:t xml:space="preserve">e scheme beyond the grant; </w:t>
            </w:r>
            <w:r>
              <w:rPr>
                <w:rFonts w:ascii="Arial" w:hAnsi="Arial"/>
              </w:rPr>
              <w:t>the Council</w:t>
            </w:r>
            <w:r w:rsidR="00C65BD6">
              <w:rPr>
                <w:rFonts w:ascii="Arial" w:hAnsi="Arial"/>
              </w:rPr>
              <w:t xml:space="preserve">’s </w:t>
            </w:r>
            <w:r>
              <w:rPr>
                <w:rFonts w:ascii="Arial" w:hAnsi="Arial"/>
              </w:rPr>
              <w:t>allo</w:t>
            </w:r>
            <w:r w:rsidR="00C65BD6">
              <w:rPr>
                <w:rFonts w:ascii="Arial" w:hAnsi="Arial"/>
              </w:rPr>
              <w:t>cation of</w:t>
            </w:r>
            <w:r>
              <w:rPr>
                <w:rFonts w:ascii="Arial" w:hAnsi="Arial"/>
              </w:rPr>
              <w:t xml:space="preserve"> sufficient budget from its</w:t>
            </w:r>
            <w:r w:rsidR="00C65BD6">
              <w:rPr>
                <w:rFonts w:ascii="Arial" w:hAnsi="Arial"/>
              </w:rPr>
              <w:t xml:space="preserve"> own sources and the meeting of on-going revenue requirements.  Each of these points is </w:t>
            </w:r>
            <w:r w:rsidR="00FE45EC">
              <w:rPr>
                <w:rFonts w:ascii="Arial" w:hAnsi="Arial"/>
              </w:rPr>
              <w:t xml:space="preserve">to be </w:t>
            </w:r>
            <w:r w:rsidR="00C65BD6">
              <w:rPr>
                <w:rFonts w:ascii="Arial" w:hAnsi="Arial"/>
              </w:rPr>
              <w:t>the sub</w:t>
            </w:r>
            <w:r w:rsidR="00FE45EC">
              <w:rPr>
                <w:rFonts w:ascii="Arial" w:hAnsi="Arial"/>
              </w:rPr>
              <w:t>ject of agreement with partners and</w:t>
            </w:r>
            <w:r w:rsidR="00C65BD6">
              <w:rPr>
                <w:rFonts w:ascii="Arial" w:hAnsi="Arial"/>
              </w:rPr>
              <w:t xml:space="preserve"> the development of a full</w:t>
            </w:r>
            <w:r w:rsidR="00FE45EC">
              <w:rPr>
                <w:rFonts w:ascii="Arial" w:hAnsi="Arial"/>
              </w:rPr>
              <w:t xml:space="preserve"> business case post-submission.  </w:t>
            </w:r>
          </w:p>
          <w:p w:rsidR="005B5556" w:rsidRDefault="005B5556" w:rsidP="00E60D35">
            <w:pPr>
              <w:jc w:val="both"/>
              <w:rPr>
                <w:rFonts w:ascii="Arial" w:hAnsi="Arial"/>
              </w:rPr>
            </w:pPr>
          </w:p>
          <w:p w:rsidR="005B5556" w:rsidRDefault="00FE45EC" w:rsidP="00E60D35">
            <w:pPr>
              <w:jc w:val="both"/>
              <w:rPr>
                <w:rFonts w:ascii="Arial" w:hAnsi="Arial"/>
              </w:rPr>
            </w:pPr>
            <w:r>
              <w:rPr>
                <w:rFonts w:ascii="Arial" w:hAnsi="Arial"/>
              </w:rPr>
              <w:t>The business case will test</w:t>
            </w:r>
            <w:r w:rsidR="00C65BD6">
              <w:rPr>
                <w:rFonts w:ascii="Arial" w:hAnsi="Arial"/>
              </w:rPr>
              <w:t xml:space="preserve"> the operational as</w:t>
            </w:r>
            <w:r>
              <w:rPr>
                <w:rFonts w:ascii="Arial" w:hAnsi="Arial"/>
              </w:rPr>
              <w:t xml:space="preserve">sumptions within the submission, incorporating </w:t>
            </w:r>
            <w:r w:rsidR="002C6C29">
              <w:rPr>
                <w:rFonts w:ascii="Arial" w:hAnsi="Arial"/>
              </w:rPr>
              <w:t>the</w:t>
            </w:r>
            <w:r w:rsidR="00C65BD6">
              <w:rPr>
                <w:rFonts w:ascii="Arial" w:hAnsi="Arial"/>
              </w:rPr>
              <w:t xml:space="preserve"> </w:t>
            </w:r>
            <w:r>
              <w:rPr>
                <w:rFonts w:ascii="Arial" w:hAnsi="Arial"/>
              </w:rPr>
              <w:t xml:space="preserve">wider business case for Mansfield Connect and specifically </w:t>
            </w:r>
            <w:r w:rsidR="00C65BD6">
              <w:rPr>
                <w:rFonts w:ascii="Arial" w:hAnsi="Arial"/>
              </w:rPr>
              <w:t xml:space="preserve">for </w:t>
            </w:r>
            <w:r>
              <w:rPr>
                <w:rFonts w:ascii="Arial" w:hAnsi="Arial"/>
              </w:rPr>
              <w:t xml:space="preserve">the relocation of the Council </w:t>
            </w:r>
            <w:r w:rsidR="00C65BD6">
              <w:rPr>
                <w:rFonts w:ascii="Arial" w:hAnsi="Arial"/>
              </w:rPr>
              <w:t>from the Civic Centre to Mansfield Connect.  Certain assumptions are to be made within the bid</w:t>
            </w:r>
            <w:r>
              <w:rPr>
                <w:rFonts w:ascii="Arial" w:hAnsi="Arial"/>
              </w:rPr>
              <w:t>,</w:t>
            </w:r>
            <w:r w:rsidR="00C65BD6">
              <w:rPr>
                <w:rFonts w:ascii="Arial" w:hAnsi="Arial"/>
              </w:rPr>
              <w:t xml:space="preserve"> based on the latest information available and the </w:t>
            </w:r>
            <w:r>
              <w:rPr>
                <w:rFonts w:ascii="Arial" w:hAnsi="Arial"/>
              </w:rPr>
              <w:t xml:space="preserve">expectations of the </w:t>
            </w:r>
            <w:r w:rsidR="005B5556">
              <w:rPr>
                <w:rFonts w:ascii="Arial" w:hAnsi="Arial"/>
              </w:rPr>
              <w:t xml:space="preserve">LUF criteria.  </w:t>
            </w:r>
            <w:r w:rsidR="00DA1CC2">
              <w:rPr>
                <w:rFonts w:ascii="Arial" w:hAnsi="Arial"/>
              </w:rPr>
              <w:t>P</w:t>
            </w:r>
            <w:r w:rsidR="00C65BD6">
              <w:rPr>
                <w:rFonts w:ascii="Arial" w:hAnsi="Arial"/>
              </w:rPr>
              <w:t xml:space="preserve">rogress </w:t>
            </w:r>
            <w:r w:rsidR="00DA1CC2">
              <w:rPr>
                <w:rFonts w:ascii="Arial" w:hAnsi="Arial"/>
              </w:rPr>
              <w:t xml:space="preserve">will continue to be made </w:t>
            </w:r>
            <w:r w:rsidR="00C65BD6">
              <w:rPr>
                <w:rFonts w:ascii="Arial" w:hAnsi="Arial"/>
              </w:rPr>
              <w:t>on these issues beyond the submission date</w:t>
            </w:r>
            <w:r>
              <w:rPr>
                <w:rFonts w:ascii="Arial" w:hAnsi="Arial"/>
              </w:rPr>
              <w:t>.</w:t>
            </w:r>
            <w:r w:rsidR="002C6C29">
              <w:rPr>
                <w:rFonts w:ascii="Arial" w:hAnsi="Arial"/>
              </w:rPr>
              <w:t xml:space="preserve">  </w:t>
            </w:r>
          </w:p>
          <w:p w:rsidR="00704B1F" w:rsidRDefault="00704B1F" w:rsidP="00E60D35">
            <w:pPr>
              <w:jc w:val="both"/>
              <w:rPr>
                <w:rFonts w:ascii="Arial" w:hAnsi="Arial"/>
              </w:rPr>
            </w:pPr>
          </w:p>
          <w:p w:rsidR="00704B1F" w:rsidRDefault="00704B1F" w:rsidP="00E60D35">
            <w:pPr>
              <w:jc w:val="both"/>
              <w:rPr>
                <w:rFonts w:ascii="Arial" w:hAnsi="Arial"/>
              </w:rPr>
            </w:pPr>
            <w:r>
              <w:rPr>
                <w:rFonts w:ascii="Arial" w:hAnsi="Arial"/>
              </w:rPr>
              <w:t xml:space="preserve">A further form requires the Section 151 Officer to confirm the funds will be administered in a way that will take account of subsidy control obligations.  The </w:t>
            </w:r>
            <w:r>
              <w:rPr>
                <w:rFonts w:ascii="Arial" w:hAnsi="Arial"/>
              </w:rPr>
              <w:lastRenderedPageBreak/>
              <w:t xml:space="preserve">Council will not be disbursing any funds onwards to other organisations and advice has been sought on this issue.     </w:t>
            </w:r>
          </w:p>
          <w:p w:rsidR="005B5556" w:rsidRDefault="005B5556" w:rsidP="00E60D35">
            <w:pPr>
              <w:jc w:val="both"/>
              <w:rPr>
                <w:rFonts w:ascii="Arial" w:hAnsi="Arial"/>
              </w:rPr>
            </w:pPr>
          </w:p>
          <w:p w:rsidR="00DA1CC2" w:rsidRDefault="002C6C29" w:rsidP="00E60D35">
            <w:pPr>
              <w:jc w:val="both"/>
              <w:rPr>
                <w:rFonts w:ascii="Arial" w:hAnsi="Arial"/>
              </w:rPr>
            </w:pPr>
            <w:r>
              <w:rPr>
                <w:rFonts w:ascii="Arial" w:hAnsi="Arial"/>
              </w:rPr>
              <w:t>S</w:t>
            </w:r>
            <w:r w:rsidR="00DA1CC2">
              <w:rPr>
                <w:rFonts w:ascii="Arial" w:hAnsi="Arial"/>
              </w:rPr>
              <w:t>ho</w:t>
            </w:r>
            <w:r w:rsidR="00FE45EC">
              <w:rPr>
                <w:rFonts w:ascii="Arial" w:hAnsi="Arial"/>
              </w:rPr>
              <w:t>uld any aspect of the offer from Government or of the business case</w:t>
            </w:r>
            <w:r w:rsidR="00C65BD6">
              <w:rPr>
                <w:rFonts w:ascii="Arial" w:hAnsi="Arial"/>
              </w:rPr>
              <w:t xml:space="preserve"> prove to be unacceptable to the Council, the </w:t>
            </w:r>
            <w:r>
              <w:rPr>
                <w:rFonts w:ascii="Arial" w:hAnsi="Arial"/>
              </w:rPr>
              <w:t xml:space="preserve">bid may be withdrawn.  </w:t>
            </w:r>
            <w:r w:rsidR="00B026D4">
              <w:rPr>
                <w:rFonts w:ascii="Arial" w:hAnsi="Arial"/>
              </w:rPr>
              <w:t xml:space="preserve">Final decisions on the acceptance of an offer from Government and on the merits of the full business case will be subject to future consideration in reference to the Council’s constitution, financial regulations and procurement policy. </w:t>
            </w:r>
          </w:p>
          <w:p w:rsidR="00A1581C" w:rsidRPr="00E73D2F" w:rsidRDefault="00A1581C" w:rsidP="002036C2">
            <w:pPr>
              <w:jc w:val="both"/>
              <w:rPr>
                <w:rFonts w:ascii="Arial" w:hAnsi="Arial"/>
              </w:rPr>
            </w:pPr>
          </w:p>
        </w:tc>
      </w:tr>
      <w:tr w:rsidR="00A1581C" w:rsidRPr="00E73D2F" w:rsidTr="00E60D35">
        <w:tc>
          <w:tcPr>
            <w:tcW w:w="9108" w:type="dxa"/>
            <w:gridSpan w:val="3"/>
            <w:shd w:val="clear" w:color="auto" w:fill="auto"/>
          </w:tcPr>
          <w:p w:rsidR="00A1581C" w:rsidRPr="00E73D2F" w:rsidRDefault="00A1581C" w:rsidP="00E60D35">
            <w:pPr>
              <w:rPr>
                <w:rFonts w:ascii="Arial" w:hAnsi="Arial"/>
                <w:lang w:val="en-US"/>
              </w:rPr>
            </w:pPr>
          </w:p>
        </w:tc>
      </w:tr>
      <w:tr w:rsidR="00A1581C" w:rsidRPr="00E73D2F" w:rsidTr="00E60D35">
        <w:tc>
          <w:tcPr>
            <w:tcW w:w="9108" w:type="dxa"/>
            <w:gridSpan w:val="3"/>
            <w:shd w:val="clear" w:color="auto" w:fill="auto"/>
          </w:tcPr>
          <w:p w:rsidR="00A1581C" w:rsidRPr="00E73D2F" w:rsidRDefault="00A1581C" w:rsidP="00E60D35">
            <w:pPr>
              <w:rPr>
                <w:rFonts w:ascii="Arial" w:hAnsi="Arial"/>
                <w:b/>
              </w:rPr>
            </w:pPr>
            <w:r w:rsidRPr="00E73D2F">
              <w:rPr>
                <w:rFonts w:ascii="Arial" w:hAnsi="Arial"/>
                <w:b/>
              </w:rPr>
              <w:t>Legal Powers / Authority:</w:t>
            </w:r>
          </w:p>
          <w:p w:rsidR="00A1581C" w:rsidRPr="00E73D2F" w:rsidRDefault="00A1581C" w:rsidP="00E60D35">
            <w:pPr>
              <w:rPr>
                <w:rFonts w:ascii="Arial" w:hAnsi="Arial"/>
                <w:b/>
              </w:rPr>
            </w:pPr>
          </w:p>
        </w:tc>
      </w:tr>
      <w:tr w:rsidR="00A1581C" w:rsidRPr="00E73D2F" w:rsidTr="00E60D35">
        <w:trPr>
          <w:trHeight w:val="275"/>
        </w:trPr>
        <w:tc>
          <w:tcPr>
            <w:tcW w:w="1690" w:type="dxa"/>
            <w:vMerge w:val="restart"/>
            <w:shd w:val="clear" w:color="auto" w:fill="auto"/>
          </w:tcPr>
          <w:p w:rsidR="00A1581C" w:rsidRPr="00E73D2F" w:rsidRDefault="00A1581C" w:rsidP="00E60D35">
            <w:pPr>
              <w:rPr>
                <w:rFonts w:ascii="Arial" w:hAnsi="Arial"/>
                <w:b/>
              </w:rPr>
            </w:pPr>
            <w:r w:rsidRPr="00E73D2F">
              <w:rPr>
                <w:rFonts w:ascii="Arial" w:hAnsi="Arial"/>
                <w:b/>
              </w:rPr>
              <w:t>Implications:</w:t>
            </w:r>
          </w:p>
          <w:p w:rsidR="00A1581C" w:rsidRPr="00E73D2F" w:rsidRDefault="00A1581C" w:rsidP="00E60D35">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A1581C" w:rsidRDefault="00A1581C" w:rsidP="00E60D35">
            <w:pPr>
              <w:rPr>
                <w:rFonts w:ascii="Arial" w:hAnsi="Arial"/>
              </w:rPr>
            </w:pPr>
            <w:r>
              <w:rPr>
                <w:rFonts w:ascii="Arial" w:hAnsi="Arial"/>
                <w:b/>
              </w:rPr>
              <w:t>Relevant Legislation:</w:t>
            </w:r>
            <w:r>
              <w:rPr>
                <w:rFonts w:ascii="Arial" w:hAnsi="Arial"/>
              </w:rPr>
              <w:t xml:space="preserve"> </w:t>
            </w:r>
            <w:r w:rsidRPr="00CE022F">
              <w:rPr>
                <w:rFonts w:ascii="Arial" w:hAnsi="Arial"/>
              </w:rPr>
              <w:t>Not applicable</w:t>
            </w:r>
          </w:p>
          <w:p w:rsidR="00A1581C" w:rsidRPr="00E73D2F" w:rsidRDefault="00A1581C" w:rsidP="00E60D35">
            <w:pPr>
              <w:rPr>
                <w:rFonts w:ascii="Arial" w:hAnsi="Arial"/>
                <w:b/>
              </w:rPr>
            </w:pPr>
          </w:p>
        </w:tc>
      </w:tr>
      <w:tr w:rsidR="00A1581C" w:rsidRPr="00E73D2F" w:rsidTr="00E60D35">
        <w:trPr>
          <w:trHeight w:val="275"/>
        </w:trPr>
        <w:tc>
          <w:tcPr>
            <w:tcW w:w="1690" w:type="dxa"/>
            <w:vMerge/>
            <w:shd w:val="clear" w:color="auto" w:fill="auto"/>
          </w:tcPr>
          <w:p w:rsidR="00A1581C" w:rsidRPr="00E73D2F" w:rsidRDefault="00A1581C" w:rsidP="00E60D35">
            <w:pPr>
              <w:rPr>
                <w:rFonts w:ascii="Arial" w:hAnsi="Arial"/>
                <w:b/>
              </w:rPr>
            </w:pPr>
          </w:p>
        </w:tc>
        <w:tc>
          <w:tcPr>
            <w:tcW w:w="7418" w:type="dxa"/>
            <w:gridSpan w:val="2"/>
            <w:shd w:val="clear" w:color="auto" w:fill="auto"/>
          </w:tcPr>
          <w:p w:rsidR="00A1581C" w:rsidRPr="00814E80" w:rsidRDefault="00A1581C" w:rsidP="005B5556">
            <w:pPr>
              <w:ind w:hanging="2"/>
              <w:rPr>
                <w:rFonts w:ascii="Arial" w:hAnsi="Arial"/>
              </w:rPr>
            </w:pPr>
            <w:r w:rsidRPr="00240B1A">
              <w:rPr>
                <w:rFonts w:ascii="Arial" w:hAnsi="Arial"/>
                <w:b/>
              </w:rPr>
              <w:t>Finance:</w:t>
            </w:r>
            <w:r w:rsidRPr="00E73D2F">
              <w:rPr>
                <w:rFonts w:ascii="Arial" w:hAnsi="Arial"/>
                <w:b/>
              </w:rPr>
              <w:t xml:space="preserve"> </w:t>
            </w:r>
            <w:r w:rsidR="005B5556" w:rsidRPr="000D39DC">
              <w:rPr>
                <w:rFonts w:ascii="Arial" w:hAnsi="Arial"/>
              </w:rPr>
              <w:t>The submission under the LUF Round 2 will be for the maximum amount of £20M in capital grant.</w:t>
            </w:r>
            <w:r w:rsidR="00704B1F">
              <w:rPr>
                <w:rFonts w:ascii="Arial" w:hAnsi="Arial"/>
              </w:rPr>
              <w:t xml:space="preserve">  The process requires the </w:t>
            </w:r>
            <w:r w:rsidR="005B5556">
              <w:rPr>
                <w:rFonts w:ascii="Arial" w:hAnsi="Arial"/>
              </w:rPr>
              <w:t>separate declaration</w:t>
            </w:r>
            <w:r w:rsidR="00704B1F">
              <w:rPr>
                <w:rFonts w:ascii="Arial" w:hAnsi="Arial"/>
              </w:rPr>
              <w:t>s</w:t>
            </w:r>
            <w:r w:rsidR="005B5556">
              <w:rPr>
                <w:rFonts w:ascii="Arial" w:hAnsi="Arial"/>
              </w:rPr>
              <w:t xml:space="preserve"> to be signed by the Council’s Section 151 Officer.</w:t>
            </w:r>
          </w:p>
          <w:p w:rsidR="00A1581C" w:rsidRPr="00E73D2F" w:rsidRDefault="00A1581C" w:rsidP="00E60D35">
            <w:pPr>
              <w:ind w:hanging="2"/>
              <w:rPr>
                <w:rFonts w:ascii="Arial" w:hAnsi="Arial"/>
                <w:b/>
              </w:rPr>
            </w:pPr>
          </w:p>
        </w:tc>
      </w:tr>
      <w:tr w:rsidR="00A1581C" w:rsidRPr="00E73D2F" w:rsidTr="00E60D35">
        <w:trPr>
          <w:trHeight w:val="345"/>
        </w:trPr>
        <w:tc>
          <w:tcPr>
            <w:tcW w:w="1690" w:type="dxa"/>
            <w:vMerge/>
            <w:shd w:val="clear" w:color="auto" w:fill="auto"/>
          </w:tcPr>
          <w:p w:rsidR="00A1581C" w:rsidRPr="00E73D2F" w:rsidRDefault="00A1581C" w:rsidP="00E60D35">
            <w:pPr>
              <w:rPr>
                <w:rFonts w:ascii="Arial" w:hAnsi="Arial"/>
                <w:b/>
              </w:rPr>
            </w:pPr>
          </w:p>
        </w:tc>
        <w:tc>
          <w:tcPr>
            <w:tcW w:w="7418" w:type="dxa"/>
            <w:gridSpan w:val="2"/>
            <w:shd w:val="clear" w:color="auto" w:fill="auto"/>
          </w:tcPr>
          <w:p w:rsidR="00A1581C" w:rsidRPr="00E73D2F" w:rsidRDefault="00A1581C" w:rsidP="00E60D35">
            <w:pPr>
              <w:rPr>
                <w:rFonts w:ascii="Arial" w:hAnsi="Arial"/>
              </w:rPr>
            </w:pPr>
            <w:r w:rsidRPr="00E73D2F">
              <w:rPr>
                <w:rFonts w:ascii="Arial" w:hAnsi="Arial"/>
                <w:b/>
              </w:rPr>
              <w:t>HR:</w:t>
            </w:r>
            <w:r>
              <w:rPr>
                <w:rFonts w:ascii="Arial" w:hAnsi="Arial"/>
                <w:b/>
              </w:rPr>
              <w:t xml:space="preserve"> </w:t>
            </w:r>
            <w:r w:rsidRPr="00894A54">
              <w:rPr>
                <w:rFonts w:ascii="Arial" w:hAnsi="Arial"/>
              </w:rPr>
              <w:t>Not applicable</w:t>
            </w:r>
          </w:p>
          <w:p w:rsidR="00A1581C" w:rsidRPr="00E73D2F" w:rsidRDefault="00A1581C" w:rsidP="00E60D35">
            <w:pPr>
              <w:rPr>
                <w:rFonts w:ascii="Arial" w:hAnsi="Arial"/>
                <w:b/>
              </w:rPr>
            </w:pPr>
          </w:p>
        </w:tc>
      </w:tr>
      <w:tr w:rsidR="00A1581C" w:rsidRPr="00E73D2F" w:rsidTr="00E60D35">
        <w:trPr>
          <w:trHeight w:val="345"/>
        </w:trPr>
        <w:tc>
          <w:tcPr>
            <w:tcW w:w="1690" w:type="dxa"/>
            <w:vMerge/>
            <w:shd w:val="clear" w:color="auto" w:fill="auto"/>
          </w:tcPr>
          <w:p w:rsidR="00A1581C" w:rsidRPr="00E73D2F" w:rsidRDefault="00A1581C" w:rsidP="00E60D35">
            <w:pPr>
              <w:rPr>
                <w:rFonts w:ascii="Arial" w:hAnsi="Arial"/>
                <w:b/>
              </w:rPr>
            </w:pPr>
          </w:p>
        </w:tc>
        <w:tc>
          <w:tcPr>
            <w:tcW w:w="7418" w:type="dxa"/>
            <w:gridSpan w:val="2"/>
            <w:shd w:val="clear" w:color="auto" w:fill="auto"/>
          </w:tcPr>
          <w:p w:rsidR="00A1581C" w:rsidRPr="00E3628E" w:rsidRDefault="00A1581C" w:rsidP="00E60D35">
            <w:pPr>
              <w:ind w:left="9" w:hanging="11"/>
              <w:rPr>
                <w:rFonts w:ascii="Arial" w:hAnsi="Arial"/>
              </w:rPr>
            </w:pPr>
            <w:r>
              <w:rPr>
                <w:rFonts w:ascii="Arial" w:hAnsi="Arial"/>
                <w:b/>
              </w:rPr>
              <w:t xml:space="preserve">Climate Change: </w:t>
            </w:r>
            <w:r>
              <w:rPr>
                <w:rFonts w:ascii="Arial" w:hAnsi="Arial"/>
              </w:rPr>
              <w:t>Not immediately applicable in this instance</w:t>
            </w:r>
            <w:r w:rsidR="002C6C29">
              <w:rPr>
                <w:rFonts w:ascii="Arial" w:hAnsi="Arial"/>
              </w:rPr>
              <w:t xml:space="preserve"> but sustainability issues are factored into the LUF submission.</w:t>
            </w:r>
          </w:p>
          <w:p w:rsidR="00A1581C" w:rsidRPr="00E73D2F" w:rsidRDefault="00A1581C" w:rsidP="00E60D35">
            <w:pPr>
              <w:rPr>
                <w:rFonts w:ascii="Arial" w:hAnsi="Arial"/>
                <w:b/>
              </w:rPr>
            </w:pPr>
          </w:p>
        </w:tc>
      </w:tr>
      <w:tr w:rsidR="00A1581C" w:rsidRPr="00E73D2F" w:rsidTr="00E60D35">
        <w:trPr>
          <w:trHeight w:val="345"/>
        </w:trPr>
        <w:tc>
          <w:tcPr>
            <w:tcW w:w="1690" w:type="dxa"/>
            <w:vMerge/>
            <w:shd w:val="clear" w:color="auto" w:fill="auto"/>
          </w:tcPr>
          <w:p w:rsidR="00A1581C" w:rsidRPr="00E73D2F" w:rsidRDefault="00A1581C" w:rsidP="00E60D35">
            <w:pPr>
              <w:rPr>
                <w:rFonts w:ascii="Arial" w:hAnsi="Arial"/>
                <w:b/>
              </w:rPr>
            </w:pPr>
          </w:p>
        </w:tc>
        <w:tc>
          <w:tcPr>
            <w:tcW w:w="7418" w:type="dxa"/>
            <w:gridSpan w:val="2"/>
            <w:shd w:val="clear" w:color="auto" w:fill="auto"/>
          </w:tcPr>
          <w:p w:rsidR="00A1581C" w:rsidRPr="00CE022F" w:rsidRDefault="00A1581C" w:rsidP="00E60D35">
            <w:pPr>
              <w:rPr>
                <w:rFonts w:ascii="Arial" w:hAnsi="Arial"/>
              </w:rPr>
            </w:pPr>
            <w:r>
              <w:rPr>
                <w:rFonts w:ascii="Arial" w:hAnsi="Arial"/>
                <w:b/>
              </w:rPr>
              <w:t xml:space="preserve">Data Protection: </w:t>
            </w:r>
            <w:r w:rsidRPr="00E3628E">
              <w:rPr>
                <w:rFonts w:ascii="Arial" w:hAnsi="Arial"/>
              </w:rPr>
              <w:t>n/a</w:t>
            </w:r>
          </w:p>
          <w:p w:rsidR="00A1581C" w:rsidRPr="00E73D2F" w:rsidRDefault="00A1581C" w:rsidP="00E60D35">
            <w:pPr>
              <w:rPr>
                <w:rFonts w:ascii="Arial" w:hAnsi="Arial"/>
                <w:b/>
              </w:rPr>
            </w:pPr>
          </w:p>
        </w:tc>
      </w:tr>
      <w:tr w:rsidR="00A1581C" w:rsidRPr="00E73D2F" w:rsidTr="00E60D35">
        <w:trPr>
          <w:trHeight w:val="325"/>
        </w:trPr>
        <w:tc>
          <w:tcPr>
            <w:tcW w:w="1690" w:type="dxa"/>
            <w:vMerge/>
            <w:shd w:val="clear" w:color="auto" w:fill="auto"/>
          </w:tcPr>
          <w:p w:rsidR="00A1581C" w:rsidRPr="00E73D2F" w:rsidRDefault="00A1581C" w:rsidP="00E60D35">
            <w:pPr>
              <w:rPr>
                <w:rFonts w:ascii="Arial" w:hAnsi="Arial"/>
                <w:b/>
              </w:rPr>
            </w:pPr>
          </w:p>
        </w:tc>
        <w:tc>
          <w:tcPr>
            <w:tcW w:w="7418" w:type="dxa"/>
            <w:gridSpan w:val="2"/>
            <w:shd w:val="clear" w:color="auto" w:fill="auto"/>
          </w:tcPr>
          <w:p w:rsidR="00A1581C" w:rsidRPr="00CE022F" w:rsidRDefault="00A1581C" w:rsidP="00E60D35">
            <w:pPr>
              <w:rPr>
                <w:rFonts w:ascii="Arial" w:hAnsi="Arial"/>
              </w:rPr>
            </w:pPr>
            <w:r w:rsidRPr="00E524AE">
              <w:rPr>
                <w:rFonts w:ascii="Arial" w:hAnsi="Arial"/>
                <w:b/>
              </w:rPr>
              <w:t>Human Rights:</w:t>
            </w:r>
            <w:r>
              <w:rPr>
                <w:rFonts w:ascii="Arial" w:hAnsi="Arial"/>
                <w:b/>
              </w:rPr>
              <w:t xml:space="preserve"> </w:t>
            </w:r>
            <w:r w:rsidRPr="00E3628E">
              <w:rPr>
                <w:rFonts w:ascii="Arial" w:hAnsi="Arial"/>
              </w:rPr>
              <w:t>n/a</w:t>
            </w:r>
          </w:p>
          <w:p w:rsidR="00A1581C" w:rsidRPr="00E524AE" w:rsidRDefault="00A1581C" w:rsidP="00E60D35">
            <w:pPr>
              <w:rPr>
                <w:rFonts w:ascii="Arial" w:hAnsi="Arial"/>
                <w:b/>
              </w:rPr>
            </w:pPr>
          </w:p>
        </w:tc>
      </w:tr>
      <w:tr w:rsidR="00A1581C" w:rsidRPr="00E73D2F" w:rsidTr="00E60D35">
        <w:trPr>
          <w:trHeight w:val="325"/>
        </w:trPr>
        <w:tc>
          <w:tcPr>
            <w:tcW w:w="1690" w:type="dxa"/>
            <w:vMerge/>
            <w:shd w:val="clear" w:color="auto" w:fill="auto"/>
          </w:tcPr>
          <w:p w:rsidR="00A1581C" w:rsidRPr="00E73D2F" w:rsidRDefault="00A1581C" w:rsidP="00E60D35">
            <w:pPr>
              <w:rPr>
                <w:rFonts w:ascii="Arial" w:hAnsi="Arial"/>
                <w:b/>
              </w:rPr>
            </w:pPr>
          </w:p>
        </w:tc>
        <w:tc>
          <w:tcPr>
            <w:tcW w:w="7418" w:type="dxa"/>
            <w:gridSpan w:val="2"/>
            <w:shd w:val="clear" w:color="auto" w:fill="auto"/>
          </w:tcPr>
          <w:p w:rsidR="00A1581C" w:rsidRPr="002C6C29" w:rsidRDefault="00A1581C" w:rsidP="00E60D35">
            <w:pPr>
              <w:ind w:left="9" w:hanging="9"/>
              <w:rPr>
                <w:rFonts w:ascii="Arial" w:hAnsi="Arial"/>
              </w:rPr>
            </w:pPr>
            <w:r w:rsidRPr="00E524AE">
              <w:rPr>
                <w:rFonts w:ascii="Arial" w:hAnsi="Arial"/>
                <w:b/>
              </w:rPr>
              <w:t>Equality and Diversity:</w:t>
            </w:r>
            <w:r>
              <w:rPr>
                <w:rFonts w:ascii="Arial" w:hAnsi="Arial"/>
                <w:b/>
              </w:rPr>
              <w:t xml:space="preserve"> </w:t>
            </w:r>
            <w:r w:rsidR="002C6C29" w:rsidRPr="002C6C29">
              <w:rPr>
                <w:rFonts w:ascii="Arial" w:hAnsi="Arial"/>
              </w:rPr>
              <w:t>Not immediately applicable for this decision but equality issues are factored into the LUF submission</w:t>
            </w:r>
            <w:r w:rsidR="002C6C29">
              <w:rPr>
                <w:rFonts w:ascii="Arial" w:hAnsi="Arial"/>
              </w:rPr>
              <w:t>.</w:t>
            </w:r>
          </w:p>
          <w:p w:rsidR="00A1581C" w:rsidRPr="00E524AE" w:rsidRDefault="00A1581C" w:rsidP="00E60D35">
            <w:pPr>
              <w:rPr>
                <w:rFonts w:ascii="Arial" w:hAnsi="Arial"/>
                <w:b/>
              </w:rPr>
            </w:pPr>
          </w:p>
        </w:tc>
      </w:tr>
      <w:tr w:rsidR="00A1581C" w:rsidRPr="00E73D2F" w:rsidTr="00E60D35">
        <w:trPr>
          <w:trHeight w:val="368"/>
        </w:trPr>
        <w:tc>
          <w:tcPr>
            <w:tcW w:w="1690" w:type="dxa"/>
            <w:vMerge w:val="restart"/>
            <w:shd w:val="clear" w:color="auto" w:fill="auto"/>
          </w:tcPr>
          <w:p w:rsidR="00A1581C" w:rsidRPr="00E73D2F" w:rsidRDefault="00A1581C" w:rsidP="00E60D35">
            <w:pPr>
              <w:ind w:right="-109"/>
              <w:rPr>
                <w:rFonts w:ascii="Arial" w:hAnsi="Arial"/>
                <w:b/>
              </w:rPr>
            </w:pPr>
            <w:r w:rsidRPr="00E73D2F">
              <w:rPr>
                <w:rFonts w:ascii="Arial" w:hAnsi="Arial"/>
                <w:b/>
              </w:rPr>
              <w:t>In consultation with:</w:t>
            </w:r>
          </w:p>
          <w:p w:rsidR="00A1581C" w:rsidRPr="00E73D2F" w:rsidRDefault="00A1581C" w:rsidP="00E60D35">
            <w:pPr>
              <w:ind w:right="-109"/>
              <w:rPr>
                <w:rFonts w:ascii="Arial" w:hAnsi="Arial"/>
              </w:rPr>
            </w:pPr>
            <w:r w:rsidRPr="00E73D2F">
              <w:rPr>
                <w:rFonts w:ascii="Arial" w:hAnsi="Arial"/>
              </w:rPr>
              <w:t>(Where applicable)</w:t>
            </w:r>
          </w:p>
          <w:p w:rsidR="00A1581C" w:rsidRPr="00E73D2F" w:rsidRDefault="00A1581C" w:rsidP="00E60D35">
            <w:pPr>
              <w:ind w:right="-109"/>
              <w:rPr>
                <w:rFonts w:ascii="Arial" w:hAnsi="Arial"/>
                <w:b/>
              </w:rPr>
            </w:pPr>
          </w:p>
        </w:tc>
        <w:tc>
          <w:tcPr>
            <w:tcW w:w="7418" w:type="dxa"/>
            <w:gridSpan w:val="2"/>
            <w:shd w:val="clear" w:color="auto" w:fill="auto"/>
          </w:tcPr>
          <w:p w:rsidR="00A1581C" w:rsidRDefault="00A1581C" w:rsidP="00E60D35">
            <w:pPr>
              <w:rPr>
                <w:rFonts w:ascii="Arial" w:hAnsi="Arial"/>
                <w:b/>
              </w:rPr>
            </w:pPr>
            <w:r w:rsidRPr="00E73D2F">
              <w:rPr>
                <w:rFonts w:ascii="Arial" w:hAnsi="Arial"/>
                <w:b/>
              </w:rPr>
              <w:t>Head of Paid Service</w:t>
            </w:r>
          </w:p>
          <w:p w:rsidR="00A1581C" w:rsidRPr="00E73D2F" w:rsidRDefault="00A1581C" w:rsidP="00E60D35">
            <w:pPr>
              <w:rPr>
                <w:rFonts w:ascii="Arial" w:hAnsi="Arial"/>
                <w:b/>
              </w:rPr>
            </w:pPr>
          </w:p>
        </w:tc>
      </w:tr>
      <w:tr w:rsidR="00A1581C" w:rsidRPr="00E73D2F" w:rsidTr="00E60D35">
        <w:trPr>
          <w:trHeight w:val="366"/>
        </w:trPr>
        <w:tc>
          <w:tcPr>
            <w:tcW w:w="1690" w:type="dxa"/>
            <w:vMerge/>
            <w:shd w:val="clear" w:color="auto" w:fill="auto"/>
          </w:tcPr>
          <w:p w:rsidR="00A1581C" w:rsidRPr="00E73D2F" w:rsidRDefault="00A1581C" w:rsidP="00E60D35">
            <w:pPr>
              <w:ind w:right="-109"/>
              <w:rPr>
                <w:rFonts w:ascii="Arial" w:hAnsi="Arial"/>
                <w:b/>
              </w:rPr>
            </w:pPr>
          </w:p>
        </w:tc>
        <w:tc>
          <w:tcPr>
            <w:tcW w:w="7418" w:type="dxa"/>
            <w:gridSpan w:val="2"/>
            <w:shd w:val="clear" w:color="auto" w:fill="auto"/>
          </w:tcPr>
          <w:p w:rsidR="00A1581C" w:rsidRPr="00362485" w:rsidRDefault="00A1581C" w:rsidP="00E60D35">
            <w:pPr>
              <w:rPr>
                <w:rFonts w:ascii="Arial" w:hAnsi="Arial"/>
              </w:rPr>
            </w:pPr>
            <w:r w:rsidRPr="00E73D2F">
              <w:rPr>
                <w:rFonts w:ascii="Arial" w:hAnsi="Arial"/>
                <w:b/>
              </w:rPr>
              <w:t>Monitoring Officer:</w:t>
            </w:r>
            <w:r>
              <w:rPr>
                <w:rFonts w:ascii="Arial" w:hAnsi="Arial"/>
                <w:b/>
              </w:rPr>
              <w:t xml:space="preserve"> </w:t>
            </w:r>
            <w:r w:rsidR="00704B1F">
              <w:rPr>
                <w:rFonts w:ascii="Arial" w:hAnsi="Arial" w:cs="Arial"/>
              </w:rPr>
              <w:t>No specific comments</w:t>
            </w:r>
          </w:p>
          <w:p w:rsidR="00A1581C" w:rsidRPr="00E73D2F" w:rsidRDefault="00A1581C" w:rsidP="00E60D35">
            <w:pPr>
              <w:rPr>
                <w:rFonts w:ascii="Arial" w:hAnsi="Arial"/>
                <w:b/>
              </w:rPr>
            </w:pPr>
          </w:p>
        </w:tc>
      </w:tr>
      <w:tr w:rsidR="00A1581C" w:rsidRPr="00E73D2F" w:rsidTr="00E60D35">
        <w:trPr>
          <w:trHeight w:val="366"/>
        </w:trPr>
        <w:tc>
          <w:tcPr>
            <w:tcW w:w="1690" w:type="dxa"/>
            <w:vMerge/>
            <w:shd w:val="clear" w:color="auto" w:fill="auto"/>
          </w:tcPr>
          <w:p w:rsidR="00A1581C" w:rsidRPr="00E73D2F" w:rsidRDefault="00A1581C" w:rsidP="00E60D35">
            <w:pPr>
              <w:ind w:right="-109"/>
              <w:rPr>
                <w:rFonts w:ascii="Arial" w:hAnsi="Arial"/>
                <w:b/>
              </w:rPr>
            </w:pPr>
          </w:p>
        </w:tc>
        <w:tc>
          <w:tcPr>
            <w:tcW w:w="7418" w:type="dxa"/>
            <w:gridSpan w:val="2"/>
            <w:shd w:val="clear" w:color="auto" w:fill="auto"/>
          </w:tcPr>
          <w:p w:rsidR="00A1581C" w:rsidRPr="00E73D2F" w:rsidRDefault="00A1581C" w:rsidP="002036C2">
            <w:pPr>
              <w:rPr>
                <w:rFonts w:ascii="Arial" w:hAnsi="Arial"/>
                <w:b/>
              </w:rPr>
            </w:pPr>
            <w:r w:rsidRPr="00E73D2F">
              <w:rPr>
                <w:rFonts w:ascii="Arial" w:hAnsi="Arial"/>
                <w:b/>
              </w:rPr>
              <w:t>Section 151 Officer:</w:t>
            </w:r>
            <w:r w:rsidR="002036C2">
              <w:rPr>
                <w:rFonts w:ascii="Arial" w:hAnsi="Arial"/>
                <w:b/>
              </w:rPr>
              <w:t xml:space="preserve"> </w:t>
            </w:r>
            <w:r w:rsidR="00704B1F" w:rsidRPr="00704B1F">
              <w:rPr>
                <w:rFonts w:ascii="Arial" w:hAnsi="Arial"/>
              </w:rPr>
              <w:t>No specific comments</w:t>
            </w:r>
          </w:p>
        </w:tc>
      </w:tr>
      <w:tr w:rsidR="00A1581C" w:rsidRPr="00E73D2F" w:rsidTr="00E60D35">
        <w:tc>
          <w:tcPr>
            <w:tcW w:w="1690" w:type="dxa"/>
            <w:shd w:val="clear" w:color="auto" w:fill="auto"/>
          </w:tcPr>
          <w:p w:rsidR="00A1581C" w:rsidRPr="00E73D2F" w:rsidRDefault="00A1581C" w:rsidP="00E60D35">
            <w:pPr>
              <w:ind w:right="-109"/>
              <w:rPr>
                <w:rFonts w:ascii="Arial" w:hAnsi="Arial"/>
                <w:b/>
              </w:rPr>
            </w:pPr>
            <w:r w:rsidRPr="00E73D2F">
              <w:rPr>
                <w:rFonts w:ascii="Arial" w:hAnsi="Arial"/>
                <w:b/>
              </w:rPr>
              <w:t>Signature of Decision Taker:</w:t>
            </w:r>
          </w:p>
          <w:p w:rsidR="00A1581C" w:rsidRPr="00E73D2F" w:rsidRDefault="00A1581C" w:rsidP="00E60D35">
            <w:pPr>
              <w:ind w:right="-109"/>
              <w:rPr>
                <w:rFonts w:ascii="Arial" w:hAnsi="Arial"/>
              </w:rPr>
            </w:pPr>
            <w:r w:rsidRPr="00E73D2F">
              <w:rPr>
                <w:rFonts w:ascii="Arial" w:hAnsi="Arial"/>
              </w:rPr>
              <w:t>(Please do not ‘pp’)</w:t>
            </w:r>
          </w:p>
          <w:p w:rsidR="00A1581C" w:rsidRPr="00E73D2F" w:rsidRDefault="00A1581C" w:rsidP="00E60D35">
            <w:pPr>
              <w:ind w:right="-109"/>
              <w:rPr>
                <w:rFonts w:ascii="Arial" w:hAnsi="Arial"/>
                <w:b/>
              </w:rPr>
            </w:pPr>
          </w:p>
        </w:tc>
        <w:tc>
          <w:tcPr>
            <w:tcW w:w="7418" w:type="dxa"/>
            <w:gridSpan w:val="2"/>
            <w:shd w:val="clear" w:color="auto" w:fill="auto"/>
          </w:tcPr>
          <w:p w:rsidR="00A1581C" w:rsidRDefault="00A1581C" w:rsidP="00E60D35">
            <w:pPr>
              <w:rPr>
                <w:rFonts w:ascii="Arial" w:hAnsi="Arial" w:cs="Arial"/>
                <w:noProof/>
              </w:rPr>
            </w:pPr>
          </w:p>
          <w:p w:rsidR="00A1581C" w:rsidRPr="00E73D2F" w:rsidRDefault="0030092A" w:rsidP="00E60D35">
            <w:pPr>
              <w:rPr>
                <w:rFonts w:ascii="Arial" w:hAnsi="Arial"/>
                <w:b/>
              </w:rPr>
            </w:pPr>
            <w:r>
              <w:rPr>
                <w:rFonts w:ascii="Arial" w:hAnsi="Arial" w:cs="Arial"/>
              </w:rPr>
              <w:t>Martyn Saxton</w:t>
            </w:r>
            <w:bookmarkStart w:id="0" w:name="_GoBack"/>
            <w:bookmarkEnd w:id="0"/>
          </w:p>
        </w:tc>
      </w:tr>
    </w:tbl>
    <w:p w:rsidR="00A1581C" w:rsidRPr="00FB4E13" w:rsidRDefault="00A1581C" w:rsidP="00A1581C">
      <w:pPr>
        <w:rPr>
          <w:rFonts w:ascii="Arial" w:hAnsi="Arial" w:cs="Arial"/>
        </w:rPr>
      </w:pPr>
    </w:p>
    <w:p w:rsidR="003610BD" w:rsidRDefault="003610BD" w:rsidP="003610BD">
      <w:pPr>
        <w:rPr>
          <w:rFonts w:ascii="Arial" w:hAnsi="Arial"/>
        </w:rPr>
      </w:pPr>
      <w:r w:rsidRPr="00046933">
        <w:rPr>
          <w:rFonts w:ascii="Arial" w:hAnsi="Arial"/>
        </w:rPr>
        <w:t xml:space="preserve">Please send all decision for publication to: Democratic Services, at </w:t>
      </w:r>
      <w:hyperlink r:id="rId5" w:history="1">
        <w:r w:rsidRPr="008A308D">
          <w:rPr>
            <w:rStyle w:val="Hyperlink"/>
            <w:rFonts w:ascii="Arial" w:hAnsi="Arial"/>
          </w:rPr>
          <w:t>democraticservices@mansfield.gov.uk</w:t>
        </w:r>
      </w:hyperlink>
      <w:r w:rsidRPr="00046933">
        <w:rPr>
          <w:rFonts w:ascii="Arial" w:hAnsi="Arial"/>
        </w:rPr>
        <w:t>.</w:t>
      </w:r>
    </w:p>
    <w:p w:rsidR="003610BD" w:rsidRDefault="003610BD" w:rsidP="003610BD">
      <w:pPr>
        <w:rPr>
          <w:rFonts w:ascii="Arial" w:hAnsi="Arial"/>
        </w:rPr>
      </w:pPr>
    </w:p>
    <w:p w:rsidR="003610BD" w:rsidRDefault="003610BD" w:rsidP="003610BD">
      <w:pPr>
        <w:rPr>
          <w:rFonts w:ascii="Arial" w:hAnsi="Arial"/>
        </w:rPr>
      </w:pPr>
      <w:r w:rsidRPr="00046933">
        <w:rPr>
          <w:rFonts w:ascii="Arial" w:hAnsi="Arial"/>
        </w:rPr>
        <w:t xml:space="preserve">All decisions with exempt information should be sent to </w:t>
      </w:r>
      <w:r>
        <w:rPr>
          <w:rFonts w:ascii="Arial" w:hAnsi="Arial"/>
        </w:rPr>
        <w:t>Mark Pemberton</w:t>
      </w:r>
      <w:r w:rsidRPr="00046933">
        <w:rPr>
          <w:rFonts w:ascii="Arial" w:hAnsi="Arial"/>
        </w:rPr>
        <w:t xml:space="preserve">, Democratic Services Manager at </w:t>
      </w:r>
      <w:hyperlink r:id="rId6" w:history="1">
        <w:r w:rsidRPr="000C5642">
          <w:rPr>
            <w:rStyle w:val="Hyperlink"/>
            <w:rFonts w:ascii="Arial" w:hAnsi="Arial"/>
          </w:rPr>
          <w:t>mpemberton@mansfield.gov.uk</w:t>
        </w:r>
      </w:hyperlink>
      <w:r>
        <w:rPr>
          <w:rFonts w:ascii="Arial" w:hAnsi="Arial"/>
        </w:rPr>
        <w:t>.</w:t>
      </w:r>
    </w:p>
    <w:p w:rsidR="00A1581C" w:rsidRPr="00A1581C" w:rsidRDefault="00A1581C" w:rsidP="00A1581C"/>
    <w:sectPr w:rsidR="00A1581C" w:rsidRPr="00A15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87"/>
    <w:rsid w:val="00042A44"/>
    <w:rsid w:val="00056FA5"/>
    <w:rsid w:val="0008190A"/>
    <w:rsid w:val="000B63AE"/>
    <w:rsid w:val="002036C2"/>
    <w:rsid w:val="00240B1A"/>
    <w:rsid w:val="002812FA"/>
    <w:rsid w:val="002C6C29"/>
    <w:rsid w:val="0030092A"/>
    <w:rsid w:val="00346A58"/>
    <w:rsid w:val="0035318C"/>
    <w:rsid w:val="003610BD"/>
    <w:rsid w:val="00456681"/>
    <w:rsid w:val="005238B0"/>
    <w:rsid w:val="0055676A"/>
    <w:rsid w:val="00571A87"/>
    <w:rsid w:val="00581101"/>
    <w:rsid w:val="005B5556"/>
    <w:rsid w:val="006279DB"/>
    <w:rsid w:val="00651CDB"/>
    <w:rsid w:val="00704B1F"/>
    <w:rsid w:val="00733F85"/>
    <w:rsid w:val="008110D0"/>
    <w:rsid w:val="009B2E5B"/>
    <w:rsid w:val="009C6B83"/>
    <w:rsid w:val="00A1581C"/>
    <w:rsid w:val="00A16701"/>
    <w:rsid w:val="00B026D4"/>
    <w:rsid w:val="00B77BB2"/>
    <w:rsid w:val="00C65BD6"/>
    <w:rsid w:val="00DA1CC2"/>
    <w:rsid w:val="00E974C5"/>
    <w:rsid w:val="00F3289E"/>
    <w:rsid w:val="00F52481"/>
    <w:rsid w:val="00F94230"/>
    <w:rsid w:val="00FB4E13"/>
    <w:rsid w:val="00FE4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561B22"/>
  <w15:chartTrackingRefBased/>
  <w15:docId w15:val="{63DD6D56-B7B8-4237-8A67-584CA5AA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F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8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emberton@mansfield.gov.uk" TargetMode="External"/><Relationship Id="rId5" Type="http://schemas.openxmlformats.org/officeDocument/2006/relationships/hyperlink" Target="mailto:democraticservices@mansfield.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Danyal Bazmi</dc:creator>
  <cp:keywords/>
  <dc:description/>
  <cp:lastModifiedBy>Gabriella Wright</cp:lastModifiedBy>
  <cp:revision>3</cp:revision>
  <dcterms:created xsi:type="dcterms:W3CDTF">2022-07-06T07:45:00Z</dcterms:created>
  <dcterms:modified xsi:type="dcterms:W3CDTF">2022-07-06T07:45:00Z</dcterms:modified>
</cp:coreProperties>
</file>